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6F1" w:rsidRDefault="006436F1" w:rsidP="006436F1">
      <w:pPr>
        <w:pStyle w:val="1"/>
        <w:spacing w:before="0" w:line="360" w:lineRule="auto"/>
        <w:rPr>
          <w:color w:val="31849B" w:themeColor="accent5" w:themeShade="BF"/>
        </w:rPr>
      </w:pPr>
      <w:bookmarkStart w:id="0" w:name="_Toc378255703"/>
    </w:p>
    <w:p w:rsidR="006436F1" w:rsidRPr="00E919E2" w:rsidRDefault="00E919E2" w:rsidP="00E919E2">
      <w:pPr>
        <w:spacing w:line="360" w:lineRule="auto"/>
        <w:ind w:left="5245"/>
        <w:jc w:val="both"/>
        <w:rPr>
          <w:b/>
        </w:rPr>
      </w:pPr>
      <w:r>
        <w:rPr>
          <w:b/>
        </w:rPr>
        <w:t>«</w:t>
      </w:r>
      <w:r w:rsidR="006436F1" w:rsidRPr="00E919E2">
        <w:rPr>
          <w:b/>
        </w:rPr>
        <w:t>Утверждено»</w:t>
      </w:r>
    </w:p>
    <w:p w:rsidR="006436F1" w:rsidRDefault="006436F1" w:rsidP="00E919E2">
      <w:pPr>
        <w:spacing w:line="360" w:lineRule="auto"/>
        <w:ind w:left="5245"/>
        <w:jc w:val="both"/>
        <w:rPr>
          <w:b/>
        </w:rPr>
      </w:pPr>
      <w:r w:rsidRPr="00E919E2">
        <w:rPr>
          <w:b/>
        </w:rPr>
        <w:t>Наблюдательным советом АККОРК</w:t>
      </w:r>
    </w:p>
    <w:p w:rsidR="00E919E2" w:rsidRPr="00E919E2" w:rsidRDefault="006655FE" w:rsidP="00E919E2">
      <w:pPr>
        <w:pStyle w:val="Default"/>
        <w:ind w:left="524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Протокол № 01 от 25 июня 2014</w:t>
      </w:r>
      <w:r w:rsidR="00E919E2" w:rsidRPr="00E919E2">
        <w:rPr>
          <w:rFonts w:ascii="Times New Roman" w:hAnsi="Times New Roman" w:cs="Times New Roman"/>
          <w:b/>
        </w:rPr>
        <w:t xml:space="preserve"> г.</w:t>
      </w:r>
    </w:p>
    <w:p w:rsidR="00E919E2" w:rsidRDefault="00E919E2" w:rsidP="00E919E2">
      <w:pPr>
        <w:ind w:left="5245"/>
        <w:rPr>
          <w:sz w:val="28"/>
          <w:szCs w:val="28"/>
        </w:rPr>
      </w:pPr>
    </w:p>
    <w:p w:rsidR="00E64E37" w:rsidRPr="006655FE" w:rsidRDefault="00E64E37" w:rsidP="00E64E37">
      <w:pPr>
        <w:spacing w:line="360" w:lineRule="auto"/>
        <w:ind w:left="5245"/>
        <w:jc w:val="both"/>
        <w:rPr>
          <w:b/>
        </w:rPr>
      </w:pPr>
    </w:p>
    <w:p w:rsidR="00E64E37" w:rsidRPr="00E919E2" w:rsidRDefault="00E64E37" w:rsidP="00E64E37">
      <w:pPr>
        <w:spacing w:line="360" w:lineRule="auto"/>
        <w:ind w:left="5245"/>
        <w:jc w:val="both"/>
        <w:rPr>
          <w:b/>
        </w:rPr>
      </w:pPr>
      <w:r>
        <w:rPr>
          <w:b/>
        </w:rPr>
        <w:t>«</w:t>
      </w:r>
      <w:r w:rsidRPr="00E919E2">
        <w:rPr>
          <w:b/>
        </w:rPr>
        <w:t>Утверждено»</w:t>
      </w:r>
    </w:p>
    <w:p w:rsidR="00E64E37" w:rsidRDefault="00E64E37" w:rsidP="00E64E37">
      <w:pPr>
        <w:spacing w:line="360" w:lineRule="auto"/>
        <w:ind w:left="5245"/>
        <w:jc w:val="both"/>
        <w:rPr>
          <w:b/>
        </w:rPr>
      </w:pPr>
      <w:r w:rsidRPr="00E919E2">
        <w:rPr>
          <w:b/>
        </w:rPr>
        <w:t>Наблюдательным советом АККОРК</w:t>
      </w:r>
    </w:p>
    <w:p w:rsidR="00E64E37" w:rsidRPr="00E919E2" w:rsidRDefault="00E64E37" w:rsidP="00E64E37">
      <w:pPr>
        <w:pStyle w:val="Default"/>
        <w:ind w:left="524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Протокол № 02 от 17 декабря 2019</w:t>
      </w:r>
      <w:r w:rsidRPr="00E919E2">
        <w:rPr>
          <w:rFonts w:ascii="Times New Roman" w:hAnsi="Times New Roman" w:cs="Times New Roman"/>
          <w:b/>
        </w:rPr>
        <w:t xml:space="preserve"> г.</w:t>
      </w:r>
    </w:p>
    <w:p w:rsidR="004A2B3C" w:rsidRPr="002E4520" w:rsidRDefault="004A2B3C" w:rsidP="00E64E37">
      <w:pPr>
        <w:ind w:left="5245"/>
        <w:jc w:val="right"/>
        <w:rPr>
          <w:sz w:val="28"/>
          <w:szCs w:val="28"/>
        </w:rPr>
      </w:pPr>
    </w:p>
    <w:p w:rsidR="006436F1" w:rsidRDefault="006436F1" w:rsidP="006436F1">
      <w:pPr>
        <w:pStyle w:val="1"/>
        <w:spacing w:before="0" w:line="360" w:lineRule="auto"/>
        <w:rPr>
          <w:color w:val="31849B" w:themeColor="accent5" w:themeShade="BF"/>
        </w:rPr>
      </w:pPr>
    </w:p>
    <w:p w:rsidR="006436F1" w:rsidRPr="003F08FB" w:rsidRDefault="001336B5" w:rsidP="003F08FB">
      <w:pPr>
        <w:pStyle w:val="1"/>
        <w:spacing w:before="0" w:line="360" w:lineRule="auto"/>
        <w:jc w:val="center"/>
        <w:rPr>
          <w:color w:val="31849B" w:themeColor="accent5" w:themeShade="BF"/>
        </w:rPr>
      </w:pPr>
      <w:r>
        <w:rPr>
          <w:color w:val="31849B" w:themeColor="accent5" w:themeShade="BF"/>
        </w:rPr>
        <w:t xml:space="preserve">ПОЛОЖЕНИЕ ОБ </w:t>
      </w:r>
      <w:r w:rsidRPr="002C45AA">
        <w:rPr>
          <w:color w:val="31849B" w:themeColor="accent5" w:themeShade="BF"/>
        </w:rPr>
        <w:t>АПЕЛЛЯЦИ</w:t>
      </w:r>
      <w:bookmarkEnd w:id="0"/>
      <w:r>
        <w:rPr>
          <w:color w:val="31849B" w:themeColor="accent5" w:themeShade="BF"/>
        </w:rPr>
        <w:t>И</w:t>
      </w:r>
    </w:p>
    <w:p w:rsidR="006436F1" w:rsidRPr="003F08FB" w:rsidRDefault="006436F1" w:rsidP="006436F1"/>
    <w:p w:rsidR="003F08FB" w:rsidRDefault="003F08FB" w:rsidP="006436F1">
      <w:pPr>
        <w:spacing w:line="360" w:lineRule="auto"/>
        <w:ind w:firstLine="709"/>
        <w:jc w:val="both"/>
      </w:pPr>
      <w:r>
        <w:t xml:space="preserve">1. </w:t>
      </w:r>
      <w:r w:rsidR="006436F1" w:rsidRPr="002C45AA">
        <w:t>Образовательная организация, получив</w:t>
      </w:r>
      <w:r w:rsidR="006436F1">
        <w:t xml:space="preserve"> отчеты экспертов и/или </w:t>
      </w:r>
      <w:r w:rsidR="006436F1" w:rsidRPr="002C45AA">
        <w:t>решение об аккредитации, может не согласиться</w:t>
      </w:r>
      <w:r w:rsidR="006436F1">
        <w:t xml:space="preserve"> с заключениями</w:t>
      </w:r>
      <w:r w:rsidR="006436F1" w:rsidRPr="002C45AA">
        <w:t xml:space="preserve"> </w:t>
      </w:r>
      <w:r w:rsidR="006436F1">
        <w:t>экспертной команды и/или</w:t>
      </w:r>
      <w:r w:rsidR="006436F1" w:rsidRPr="002C45AA">
        <w:t xml:space="preserve"> с решением</w:t>
      </w:r>
      <w:r w:rsidR="006436F1">
        <w:t xml:space="preserve"> </w:t>
      </w:r>
      <w:proofErr w:type="spellStart"/>
      <w:r w:rsidR="006436F1">
        <w:t>Аккредитационного</w:t>
      </w:r>
      <w:proofErr w:type="spellEnd"/>
      <w:r w:rsidR="006436F1">
        <w:t xml:space="preserve"> совета </w:t>
      </w:r>
      <w:r w:rsidR="006655FE">
        <w:t>аккредитующей организации</w:t>
      </w:r>
      <w:r w:rsidR="006436F1">
        <w:t xml:space="preserve">. В таких случаях образовательная организация вправе </w:t>
      </w:r>
      <w:r w:rsidR="006436F1" w:rsidRPr="002C45AA">
        <w:t xml:space="preserve">направить в </w:t>
      </w:r>
      <w:r>
        <w:t>АККОРК</w:t>
      </w:r>
      <w:r w:rsidR="006436F1" w:rsidRPr="002C45AA">
        <w:t xml:space="preserve"> апелляцию, составленную в письменной форме и подписанную ректором образовательной организации. Апелляции в устной форме не рассматриваются. В апелляции должн</w:t>
      </w:r>
      <w:r w:rsidR="006436F1">
        <w:t>о</w:t>
      </w:r>
      <w:r w:rsidR="006436F1" w:rsidRPr="002C45AA">
        <w:t xml:space="preserve"> быть указан</w:t>
      </w:r>
      <w:r w:rsidR="006436F1">
        <w:t>о</w:t>
      </w:r>
      <w:r w:rsidR="006436F1" w:rsidRPr="002C45AA">
        <w:t xml:space="preserve">, какие именно заключения экспертов </w:t>
      </w:r>
      <w:r w:rsidR="006436F1">
        <w:t xml:space="preserve">(или заключения Аккредитационного совета) </w:t>
      </w:r>
      <w:r w:rsidR="006436F1" w:rsidRPr="002C45AA">
        <w:t xml:space="preserve">неверно отражают состояние дел в образовательной организации. </w:t>
      </w:r>
      <w:r>
        <w:t xml:space="preserve">Апелляция направляется в Наблюдательный совет АККОРК в течение 10 дней со дня ознакомления образовательной организации с результатами аккредитации. </w:t>
      </w:r>
    </w:p>
    <w:p w:rsidR="001336B5" w:rsidRDefault="001336B5" w:rsidP="006436F1">
      <w:pPr>
        <w:spacing w:line="360" w:lineRule="auto"/>
        <w:ind w:firstLine="709"/>
        <w:jc w:val="both"/>
      </w:pPr>
    </w:p>
    <w:p w:rsidR="006436F1" w:rsidRDefault="003F08FB" w:rsidP="006436F1">
      <w:pPr>
        <w:spacing w:line="360" w:lineRule="auto"/>
        <w:ind w:firstLine="709"/>
        <w:jc w:val="both"/>
      </w:pPr>
      <w:r>
        <w:t>2. Наблюдательный совет АККОРК</w:t>
      </w:r>
      <w:r w:rsidR="006436F1" w:rsidRPr="002C45AA">
        <w:t xml:space="preserve">, получив апелляцию, </w:t>
      </w:r>
      <w:r>
        <w:t xml:space="preserve">в течение 5 дней </w:t>
      </w:r>
      <w:r w:rsidR="006436F1" w:rsidRPr="002C45AA">
        <w:t xml:space="preserve">письменно уведомляет представителей образовательной организации </w:t>
      </w:r>
      <w:r w:rsidR="006436F1">
        <w:t xml:space="preserve">о </w:t>
      </w:r>
      <w:r w:rsidR="006436F1" w:rsidRPr="002C45AA">
        <w:t>факт</w:t>
      </w:r>
      <w:r w:rsidR="006436F1">
        <w:t>е</w:t>
      </w:r>
      <w:r w:rsidR="006436F1" w:rsidRPr="002C45AA">
        <w:t xml:space="preserve"> получения апелляции. </w:t>
      </w:r>
    </w:p>
    <w:p w:rsidR="001336B5" w:rsidRPr="002C45AA" w:rsidRDefault="001336B5" w:rsidP="006436F1">
      <w:pPr>
        <w:spacing w:line="360" w:lineRule="auto"/>
        <w:ind w:firstLine="709"/>
        <w:jc w:val="both"/>
      </w:pPr>
    </w:p>
    <w:p w:rsidR="009B21B1" w:rsidRDefault="003F08FB" w:rsidP="006436F1">
      <w:pPr>
        <w:spacing w:line="360" w:lineRule="auto"/>
        <w:ind w:firstLine="709"/>
        <w:jc w:val="both"/>
      </w:pPr>
      <w:r>
        <w:t xml:space="preserve">3. </w:t>
      </w:r>
      <w:r w:rsidR="006436F1" w:rsidRPr="006655FE">
        <w:t xml:space="preserve">Апелляция рассматривается </w:t>
      </w:r>
      <w:r w:rsidRPr="006655FE">
        <w:t>Наблюдательным советом АККОРК</w:t>
      </w:r>
      <w:r w:rsidR="006436F1" w:rsidRPr="006655FE">
        <w:t>,</w:t>
      </w:r>
      <w:r w:rsidRPr="006655FE">
        <w:t xml:space="preserve"> который назначает </w:t>
      </w:r>
      <w:r w:rsidR="002A68D1" w:rsidRPr="006655FE">
        <w:t xml:space="preserve">внешнюю </w:t>
      </w:r>
      <w:r w:rsidRPr="006655FE">
        <w:t xml:space="preserve">комиссию, </w:t>
      </w:r>
      <w:r w:rsidR="006436F1" w:rsidRPr="006655FE">
        <w:t xml:space="preserve">в состав которой </w:t>
      </w:r>
      <w:r w:rsidRPr="006655FE">
        <w:t xml:space="preserve">могут входить </w:t>
      </w:r>
      <w:r w:rsidR="002A68D1" w:rsidRPr="006655FE">
        <w:t>представители партнерских организаций АККОРК</w:t>
      </w:r>
      <w:r w:rsidR="006436F1" w:rsidRPr="006655FE">
        <w:t xml:space="preserve">. Состав комиссии </w:t>
      </w:r>
      <w:r w:rsidR="009B21B1" w:rsidRPr="006655FE">
        <w:t>утверждается</w:t>
      </w:r>
      <w:r w:rsidR="006436F1" w:rsidRPr="006655FE">
        <w:t xml:space="preserve"> председателем </w:t>
      </w:r>
      <w:r w:rsidRPr="006655FE">
        <w:t>Наблюдательного</w:t>
      </w:r>
      <w:r w:rsidR="006436F1" w:rsidRPr="006655FE">
        <w:t xml:space="preserve"> совета для каждого конкретного</w:t>
      </w:r>
      <w:r w:rsidR="006436F1" w:rsidRPr="002C45AA">
        <w:t xml:space="preserve"> случая. Ни один из членов комиссии не должен иметь какого-либо отношения к проверке, являющейся предметом спора. Необходимую поддержку комиссии оказывают сотрудники </w:t>
      </w:r>
      <w:r>
        <w:t>АККОРК</w:t>
      </w:r>
      <w:r w:rsidR="006436F1" w:rsidRPr="002C45AA">
        <w:t>, которые не имел</w:t>
      </w:r>
      <w:r>
        <w:t>и какого-либо отношения к экспертизе, проведенной в данной образовательной организации</w:t>
      </w:r>
      <w:r w:rsidR="006436F1" w:rsidRPr="002C45AA">
        <w:t xml:space="preserve">. </w:t>
      </w:r>
    </w:p>
    <w:p w:rsidR="001336B5" w:rsidRDefault="001336B5" w:rsidP="006436F1">
      <w:pPr>
        <w:spacing w:line="360" w:lineRule="auto"/>
        <w:ind w:firstLine="709"/>
        <w:jc w:val="both"/>
      </w:pPr>
    </w:p>
    <w:p w:rsidR="009B21B1" w:rsidRDefault="009B21B1" w:rsidP="009B21B1">
      <w:pPr>
        <w:spacing w:line="360" w:lineRule="auto"/>
        <w:ind w:firstLine="709"/>
        <w:jc w:val="both"/>
      </w:pPr>
      <w:r>
        <w:t xml:space="preserve">4. </w:t>
      </w:r>
      <w:r w:rsidR="006436F1" w:rsidRPr="002C45AA">
        <w:t xml:space="preserve">Комиссия </w:t>
      </w:r>
      <w:r>
        <w:t xml:space="preserve">в течение 20 дней </w:t>
      </w:r>
      <w:r w:rsidR="006436F1" w:rsidRPr="002C45AA">
        <w:t>должна рассмотреть</w:t>
      </w:r>
      <w:r>
        <w:t>:</w:t>
      </w:r>
    </w:p>
    <w:p w:rsidR="009B21B1" w:rsidRDefault="006436F1" w:rsidP="009B21B1">
      <w:pPr>
        <w:pStyle w:val="a3"/>
        <w:numPr>
          <w:ilvl w:val="0"/>
          <w:numId w:val="2"/>
        </w:numPr>
        <w:spacing w:line="360" w:lineRule="auto"/>
        <w:jc w:val="both"/>
      </w:pPr>
      <w:r w:rsidRPr="002C45AA">
        <w:t xml:space="preserve">процедуры, которые проводили эксперты, </w:t>
      </w:r>
    </w:p>
    <w:p w:rsidR="009B21B1" w:rsidRDefault="006436F1" w:rsidP="009B21B1">
      <w:pPr>
        <w:pStyle w:val="a3"/>
        <w:numPr>
          <w:ilvl w:val="0"/>
          <w:numId w:val="2"/>
        </w:numPr>
        <w:spacing w:line="360" w:lineRule="auto"/>
        <w:jc w:val="both"/>
      </w:pPr>
      <w:r w:rsidRPr="002C45AA">
        <w:t xml:space="preserve">выводы, которые они сделали, и проверить, </w:t>
      </w:r>
    </w:p>
    <w:p w:rsidR="009B21B1" w:rsidRDefault="006436F1" w:rsidP="009B21B1">
      <w:pPr>
        <w:pStyle w:val="a3"/>
        <w:numPr>
          <w:ilvl w:val="0"/>
          <w:numId w:val="2"/>
        </w:numPr>
        <w:spacing w:line="360" w:lineRule="auto"/>
        <w:jc w:val="both"/>
      </w:pPr>
      <w:r w:rsidRPr="002C45AA">
        <w:t>остаются ли заключения экспертов корректными и ясными в свете вопросов, заявленных к апелляции.</w:t>
      </w:r>
      <w:r w:rsidR="009B21B1">
        <w:t xml:space="preserve"> </w:t>
      </w:r>
    </w:p>
    <w:p w:rsidR="006436F1" w:rsidRPr="009B21B1" w:rsidRDefault="009B21B1" w:rsidP="006436F1">
      <w:pPr>
        <w:spacing w:line="360" w:lineRule="auto"/>
        <w:ind w:firstLine="709"/>
        <w:jc w:val="both"/>
      </w:pPr>
      <w:r w:rsidRPr="009B21B1">
        <w:t xml:space="preserve">4.1. </w:t>
      </w:r>
      <w:r w:rsidR="006436F1" w:rsidRPr="009B21B1">
        <w:t>В отношении экспертов АККОРК</w:t>
      </w:r>
      <w:r>
        <w:t xml:space="preserve"> комиссия </w:t>
      </w:r>
    </w:p>
    <w:p w:rsidR="006436F1" w:rsidRPr="002C45AA" w:rsidRDefault="006436F1" w:rsidP="006436F1">
      <w:pPr>
        <w:spacing w:line="360" w:lineRule="auto"/>
        <w:ind w:firstLine="709"/>
        <w:jc w:val="both"/>
      </w:pPr>
      <w:r w:rsidRPr="002C45AA">
        <w:t>Комиссия должна выяснить, не допускали ли эксперты процедурных нарушений, которые могли бы поставить под вопрос легитимность вынесенных решений, и, е</w:t>
      </w:r>
      <w:r>
        <w:t xml:space="preserve">сли нарушения будут выявлены, оценить, </w:t>
      </w:r>
      <w:r w:rsidRPr="002C45AA">
        <w:t>насколько указанные нарушени</w:t>
      </w:r>
      <w:r>
        <w:t>я</w:t>
      </w:r>
      <w:r w:rsidRPr="002C45AA">
        <w:t xml:space="preserve"> повлияли на вынесение заключений экспертами. </w:t>
      </w:r>
    </w:p>
    <w:p w:rsidR="006436F1" w:rsidRPr="002C45AA" w:rsidRDefault="006436F1" w:rsidP="006436F1">
      <w:pPr>
        <w:spacing w:line="360" w:lineRule="auto"/>
        <w:ind w:firstLine="709"/>
        <w:jc w:val="both"/>
      </w:pPr>
      <w:r w:rsidRPr="002C45AA">
        <w:t>Комиссия должна также рассмотреть, являются ли выводы экспертов обоснованными и соразмерными, поскольку легитимность выводов экспертов становится сомнительной, если доступные комиссии сведения покажут, что эксперты принимали во внимание несущественные факты и не учитывали важные результаты.</w:t>
      </w:r>
    </w:p>
    <w:p w:rsidR="006436F1" w:rsidRPr="002C45AA" w:rsidRDefault="006436F1" w:rsidP="006436F1">
      <w:pPr>
        <w:spacing w:line="360" w:lineRule="auto"/>
        <w:ind w:firstLine="709"/>
        <w:jc w:val="both"/>
      </w:pPr>
      <w:r w:rsidRPr="002C45AA">
        <w:t>Комиссия должна также выяснить, не содержатся ли в апелляции материалы, которые не были доступны экспертам до момента зав</w:t>
      </w:r>
      <w:r>
        <w:t>ершения образовательного аудита</w:t>
      </w:r>
      <w:r w:rsidRPr="002C45AA">
        <w:t xml:space="preserve"> и теперь заставляют экспертов пересматривать полученные ими результаты. В случае</w:t>
      </w:r>
      <w:r>
        <w:t>,</w:t>
      </w:r>
      <w:r w:rsidRPr="002C45AA">
        <w:t xml:space="preserve"> если подобные материалы будут выявлены, представители образовательной организации</w:t>
      </w:r>
      <w:r>
        <w:t xml:space="preserve"> долж</w:t>
      </w:r>
      <w:r w:rsidRPr="002C45AA">
        <w:t xml:space="preserve">ны будет объяснить комиссии, почему подобные материалы не были предоставлены экспертам при проведении оценки. </w:t>
      </w:r>
    </w:p>
    <w:p w:rsidR="006436F1" w:rsidRPr="0010252B" w:rsidRDefault="001336B5" w:rsidP="006436F1">
      <w:pPr>
        <w:spacing w:line="360" w:lineRule="auto"/>
        <w:ind w:firstLine="709"/>
        <w:jc w:val="both"/>
      </w:pPr>
      <w:r>
        <w:t xml:space="preserve">4.2. </w:t>
      </w:r>
      <w:r w:rsidR="006436F1" w:rsidRPr="001336B5">
        <w:t xml:space="preserve">В отношении членов </w:t>
      </w:r>
      <w:proofErr w:type="spellStart"/>
      <w:r w:rsidR="006436F1" w:rsidRPr="001336B5">
        <w:t>Аккредитационного</w:t>
      </w:r>
      <w:proofErr w:type="spellEnd"/>
      <w:r w:rsidR="006436F1" w:rsidRPr="001336B5">
        <w:t xml:space="preserve"> совета </w:t>
      </w:r>
      <w:r w:rsidR="0010252B">
        <w:t>Аккредитующей орган</w:t>
      </w:r>
      <w:bookmarkStart w:id="1" w:name="_GoBack"/>
      <w:bookmarkEnd w:id="1"/>
      <w:r w:rsidR="0010252B">
        <w:t>изации</w:t>
      </w:r>
    </w:p>
    <w:p w:rsidR="006436F1" w:rsidRDefault="006436F1" w:rsidP="006436F1">
      <w:pPr>
        <w:spacing w:line="360" w:lineRule="auto"/>
        <w:ind w:firstLine="709"/>
        <w:jc w:val="both"/>
      </w:pPr>
      <w:r w:rsidRPr="002C45AA">
        <w:t>Комиссия должна выяснить, не имеют ли члены Аккредитационного совета интересов, связанных с конкурирующими образовательными организациями и других аспектов, которые могли бы поставить под вопрос легитимность вынесенных решений.</w:t>
      </w:r>
    </w:p>
    <w:p w:rsidR="001336B5" w:rsidRPr="002C45AA" w:rsidRDefault="001336B5" w:rsidP="006436F1">
      <w:pPr>
        <w:spacing w:line="360" w:lineRule="auto"/>
        <w:ind w:firstLine="709"/>
        <w:jc w:val="both"/>
      </w:pPr>
    </w:p>
    <w:p w:rsidR="006436F1" w:rsidRPr="002C45AA" w:rsidRDefault="001336B5" w:rsidP="006436F1">
      <w:pPr>
        <w:spacing w:line="360" w:lineRule="auto"/>
        <w:ind w:firstLine="709"/>
        <w:jc w:val="both"/>
      </w:pPr>
      <w:r>
        <w:t xml:space="preserve">5. </w:t>
      </w:r>
      <w:r w:rsidR="006436F1" w:rsidRPr="002C45AA">
        <w:t>Рассмотрев все аспекты несогласия образовательной организации с решением Аккредитационного совета, комиссия может рекомендовать:</w:t>
      </w:r>
    </w:p>
    <w:p w:rsidR="006436F1" w:rsidRPr="002C45AA" w:rsidRDefault="006436F1" w:rsidP="006436F1">
      <w:pPr>
        <w:pStyle w:val="a3"/>
        <w:numPr>
          <w:ilvl w:val="0"/>
          <w:numId w:val="1"/>
        </w:numPr>
        <w:spacing w:line="360" w:lineRule="auto"/>
        <w:jc w:val="both"/>
      </w:pPr>
      <w:r w:rsidRPr="002C45AA">
        <w:t>подтвердить решение Аккредитационного совета, поскольку, во-первых, не было выявлено фактов, указывающих на наличие каких-либо существенных процедурных нарушений, во-вторых, заключения экспертов были признаны обоснованными и соразмерными, и, в-третьих, было установлено, что апелляция не содержит материалов, которые могли бы улучшить выводы экспертов, но не были доступны им до момента окончания написания отчета;</w:t>
      </w:r>
    </w:p>
    <w:p w:rsidR="006436F1" w:rsidRPr="002C45AA" w:rsidRDefault="006436F1" w:rsidP="006436F1">
      <w:pPr>
        <w:pStyle w:val="a3"/>
        <w:numPr>
          <w:ilvl w:val="0"/>
          <w:numId w:val="1"/>
        </w:numPr>
        <w:spacing w:line="360" w:lineRule="auto"/>
        <w:jc w:val="both"/>
      </w:pPr>
      <w:r w:rsidRPr="002C45AA">
        <w:lastRenderedPageBreak/>
        <w:t xml:space="preserve">пересмотреть </w:t>
      </w:r>
      <w:proofErr w:type="spellStart"/>
      <w:r w:rsidRPr="002C45AA">
        <w:t>аккредитационное</w:t>
      </w:r>
      <w:proofErr w:type="spellEnd"/>
      <w:r w:rsidRPr="002C45AA">
        <w:t xml:space="preserve"> решение, если в проведении процедур были выявлены нарушения, вызывающие сомнения в обоснованности выводов, и/или была подтверждена необоснованность и/или несоразмерность заключений экспертов. </w:t>
      </w:r>
    </w:p>
    <w:p w:rsidR="001336B5" w:rsidRPr="002C45AA" w:rsidRDefault="001336B5" w:rsidP="001336B5">
      <w:pPr>
        <w:spacing w:line="360" w:lineRule="auto"/>
        <w:ind w:firstLine="644"/>
        <w:jc w:val="both"/>
      </w:pPr>
      <w:r>
        <w:t xml:space="preserve">6. </w:t>
      </w:r>
      <w:r w:rsidRPr="002C45AA">
        <w:t xml:space="preserve">Комиссия, завершив работу, докладывает </w:t>
      </w:r>
      <w:r>
        <w:t>Наблюдательному</w:t>
      </w:r>
      <w:r w:rsidRPr="002C45AA">
        <w:t xml:space="preserve"> совету свои выводы и рекомендации.</w:t>
      </w:r>
    </w:p>
    <w:p w:rsidR="006436F1" w:rsidRPr="002C45AA" w:rsidRDefault="001336B5" w:rsidP="006436F1">
      <w:pPr>
        <w:spacing w:line="360" w:lineRule="auto"/>
        <w:ind w:firstLine="709"/>
        <w:jc w:val="both"/>
      </w:pPr>
      <w:r>
        <w:t xml:space="preserve">Наблюдательный совет должен рассмотреть выводы и рекомендации комиссии и принять решение. Вся процедура апелляции с момента поступления апелляции до принятия решения Наблюдательным советом не должна превышать периода трех месяцев. </w:t>
      </w:r>
    </w:p>
    <w:p w:rsidR="006436F1" w:rsidRPr="002C45AA" w:rsidRDefault="006436F1" w:rsidP="006436F1">
      <w:pPr>
        <w:spacing w:line="360" w:lineRule="auto"/>
        <w:ind w:firstLine="709"/>
        <w:jc w:val="both"/>
      </w:pPr>
    </w:p>
    <w:p w:rsidR="009331FD" w:rsidRDefault="009331FD"/>
    <w:sectPr w:rsidR="009331FD" w:rsidSect="00933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80F6C"/>
    <w:multiLevelType w:val="hybridMultilevel"/>
    <w:tmpl w:val="9DA422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AD628E9"/>
    <w:multiLevelType w:val="hybridMultilevel"/>
    <w:tmpl w:val="44FE1DD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36F1"/>
    <w:rsid w:val="00021582"/>
    <w:rsid w:val="0010252B"/>
    <w:rsid w:val="001336B5"/>
    <w:rsid w:val="001B0040"/>
    <w:rsid w:val="0024476A"/>
    <w:rsid w:val="002A68D1"/>
    <w:rsid w:val="002C2290"/>
    <w:rsid w:val="003F08FB"/>
    <w:rsid w:val="004A2B3C"/>
    <w:rsid w:val="00621F0C"/>
    <w:rsid w:val="006265CA"/>
    <w:rsid w:val="006436F1"/>
    <w:rsid w:val="006606B8"/>
    <w:rsid w:val="006655FE"/>
    <w:rsid w:val="00667ABB"/>
    <w:rsid w:val="007B79B9"/>
    <w:rsid w:val="00822294"/>
    <w:rsid w:val="009331FD"/>
    <w:rsid w:val="009B21B1"/>
    <w:rsid w:val="009C6BBE"/>
    <w:rsid w:val="00B82200"/>
    <w:rsid w:val="00DA015B"/>
    <w:rsid w:val="00E64E37"/>
    <w:rsid w:val="00E9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2EADFB-A10F-4FAB-9AEE-A2E30786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436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36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436F1"/>
    <w:pPr>
      <w:ind w:left="720"/>
      <w:contextualSpacing/>
    </w:pPr>
  </w:style>
  <w:style w:type="paragraph" w:customStyle="1" w:styleId="Default">
    <w:name w:val="Default"/>
    <w:rsid w:val="00E91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Erika</cp:lastModifiedBy>
  <cp:revision>7</cp:revision>
  <dcterms:created xsi:type="dcterms:W3CDTF">2014-05-30T10:53:00Z</dcterms:created>
  <dcterms:modified xsi:type="dcterms:W3CDTF">2020-02-03T13:58:00Z</dcterms:modified>
</cp:coreProperties>
</file>