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92" w:rsidRPr="007270CD" w:rsidRDefault="00410B92" w:rsidP="00410B92">
      <w:pPr>
        <w:pStyle w:val="1"/>
        <w:keepNext w:val="0"/>
        <w:widowControl w:val="0"/>
        <w:suppressAutoHyphens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270CD">
        <w:rPr>
          <w:rFonts w:ascii="Times New Roman" w:hAnsi="Times New Roman"/>
          <w:sz w:val="28"/>
          <w:szCs w:val="28"/>
        </w:rPr>
        <w:t>Показатели профессионально-общественной аккредитации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области машиностроения</w:t>
      </w:r>
    </w:p>
    <w:p w:rsidR="00410B92" w:rsidRPr="007270CD" w:rsidRDefault="00410B92" w:rsidP="00410B9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B92" w:rsidRPr="008E622A" w:rsidRDefault="00410B92" w:rsidP="00410B92">
      <w:pPr>
        <w:pStyle w:val="2"/>
      </w:pPr>
      <w:r w:rsidRPr="008E622A">
        <w:t>Критерии и показатели профессионально-общественной аккредитации образовательных программ в машиностроении:</w:t>
      </w:r>
    </w:p>
    <w:p w:rsidR="00410B92" w:rsidRPr="00874CF7" w:rsidRDefault="00410B92" w:rsidP="00410B92">
      <w:pPr>
        <w:pStyle w:val="a8"/>
      </w:pPr>
      <w:r w:rsidRPr="00874CF7">
        <w:t>Оценка образовательной программы производится по критериям, разработанным в соответствии с Правилами установления критериев оценки образовательных программ при проведении профессионально-общественной аккредитации</w:t>
      </w:r>
      <w:r w:rsidRPr="00874CF7">
        <w:rPr>
          <w:rStyle w:val="a7"/>
        </w:rPr>
        <w:footnoteReference w:id="1"/>
      </w:r>
      <w:r>
        <w:t>.</w:t>
      </w:r>
    </w:p>
    <w:p w:rsidR="00410B92" w:rsidRPr="00874CF7" w:rsidRDefault="00410B92" w:rsidP="00410B92">
      <w:pPr>
        <w:pStyle w:val="a8"/>
      </w:pPr>
      <w:r w:rsidRPr="00874CF7">
        <w:t>Критерии:</w:t>
      </w:r>
    </w:p>
    <w:p w:rsidR="00410B92" w:rsidRPr="00874CF7" w:rsidRDefault="00410B92" w:rsidP="00410B92">
      <w:pPr>
        <w:pStyle w:val="a8"/>
        <w:rPr>
          <w:b/>
        </w:rPr>
      </w:pPr>
      <w:bookmarkStart w:id="0" w:name="_Toc485227793"/>
      <w:r>
        <w:t>1. </w:t>
      </w:r>
      <w:r w:rsidRPr="00874CF7">
        <w:t>Прохождение выпускниками профессиональной образовательной программы процедуры независимой оценки квалификации. Соответствие планируемых результатов обучения (профессиональных компетенций) профессиональным стандартам в сфере машиностроения</w:t>
      </w:r>
      <w:bookmarkEnd w:id="0"/>
      <w:r>
        <w:t>.</w:t>
      </w:r>
    </w:p>
    <w:p w:rsidR="00410B92" w:rsidRPr="00874CF7" w:rsidRDefault="00410B92" w:rsidP="00410B92">
      <w:pPr>
        <w:pStyle w:val="a8"/>
        <w:rPr>
          <w:b/>
        </w:rPr>
      </w:pPr>
      <w:r>
        <w:t>2. </w:t>
      </w:r>
      <w:r w:rsidRPr="00874CF7">
        <w:t xml:space="preserve">Структура и содержание образовательной программы позволяет формировать запланированные </w:t>
      </w:r>
      <w:r>
        <w:t xml:space="preserve">результаты освоения программы и </w:t>
      </w:r>
      <w:r w:rsidRPr="00874CF7">
        <w:t>профессиональные компетенции,</w:t>
      </w:r>
      <w:r>
        <w:t xml:space="preserve"> разработанные (соотнесенные) с </w:t>
      </w:r>
      <w:r w:rsidRPr="00874CF7">
        <w:t>требованиями профессиональ</w:t>
      </w:r>
      <w:r>
        <w:t>ных стандартов в машиностроении.</w:t>
      </w:r>
    </w:p>
    <w:p w:rsidR="00410B92" w:rsidRPr="00874CF7" w:rsidRDefault="00410B92" w:rsidP="00410B92">
      <w:pPr>
        <w:pStyle w:val="a8"/>
        <w:rPr>
          <w:b/>
        </w:rPr>
      </w:pPr>
      <w:r>
        <w:t>3. </w:t>
      </w:r>
      <w:r w:rsidRPr="00874CF7">
        <w:t>Кадровый состав образовательной программы позволяет сформировать компетенции, соответствующие современным требованиям рынка труда и профессиона</w:t>
      </w:r>
      <w:r>
        <w:t>льным стандартам в области машиностроения.</w:t>
      </w:r>
    </w:p>
    <w:p w:rsidR="00410B92" w:rsidRPr="00874CF7" w:rsidRDefault="00410B92" w:rsidP="00410B92">
      <w:pPr>
        <w:pStyle w:val="a8"/>
        <w:rPr>
          <w:b/>
        </w:rPr>
      </w:pPr>
      <w:r>
        <w:t>4. </w:t>
      </w:r>
      <w:r w:rsidRPr="00874CF7">
        <w:t>Материально-технические и информационно-коммуникационные ресурсы позволяет сформировать компетенции, соответствующие современным требованиям рынка труд</w:t>
      </w:r>
      <w:r>
        <w:t>а и профессиональным стандартам.</w:t>
      </w:r>
    </w:p>
    <w:p w:rsidR="00410B92" w:rsidRPr="00874CF7" w:rsidRDefault="00410B92" w:rsidP="00410B92">
      <w:pPr>
        <w:pStyle w:val="a8"/>
        <w:rPr>
          <w:b/>
        </w:rPr>
      </w:pPr>
      <w:r>
        <w:t>5. </w:t>
      </w:r>
      <w:r w:rsidRPr="00874CF7">
        <w:t>Наличие спроса на образовательную программу. Востребованность выпускников, освоивших образовательную программу, на рынке труда</w:t>
      </w:r>
      <w:r>
        <w:t>.</w:t>
      </w:r>
    </w:p>
    <w:p w:rsidR="00410B92" w:rsidRPr="00874CF7" w:rsidRDefault="00410B92" w:rsidP="00410B92">
      <w:pPr>
        <w:pStyle w:val="a8"/>
        <w:rPr>
          <w:b/>
        </w:rPr>
      </w:pPr>
      <w:r>
        <w:t>6. </w:t>
      </w:r>
      <w:r w:rsidRPr="00874CF7">
        <w:t>Участие работодателей машиностроительно</w:t>
      </w:r>
      <w:r>
        <w:t xml:space="preserve">й отрасли в </w:t>
      </w:r>
      <w:r w:rsidRPr="00874CF7">
        <w:t>планировании, организации и мониторинге качества образовательной программы</w:t>
      </w:r>
      <w:r>
        <w:t>.</w:t>
      </w:r>
    </w:p>
    <w:p w:rsidR="00410B92" w:rsidRDefault="00410B92" w:rsidP="00410B92">
      <w:pPr>
        <w:pStyle w:val="a8"/>
      </w:pPr>
      <w:r w:rsidRPr="00874CF7">
        <w:t xml:space="preserve">Каждый </w:t>
      </w:r>
      <w:r>
        <w:t xml:space="preserve">критерий </w:t>
      </w:r>
      <w:r w:rsidRPr="00874CF7">
        <w:t>включает в себя гр</w:t>
      </w:r>
      <w:r>
        <w:t>уппу показателей разных типов в </w:t>
      </w:r>
      <w:r w:rsidRPr="00874CF7">
        <w:t>зависимости от способа его оценки: констатирующий, долевой, экспертный. Особенности оценки показателей указаны в таблице.</w:t>
      </w:r>
    </w:p>
    <w:p w:rsidR="00410B92" w:rsidRPr="00874CF7" w:rsidRDefault="00410B92" w:rsidP="00410B92">
      <w:pPr>
        <w:pStyle w:val="a8"/>
      </w:pP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749"/>
        <w:gridCol w:w="5255"/>
      </w:tblGrid>
      <w:tr w:rsidR="00410B92" w:rsidRPr="00874CF7" w:rsidTr="009A34EA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>Обозначение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4CF7">
              <w:rPr>
                <w:rFonts w:ascii="Times New Roman" w:hAnsi="Times New Roman"/>
                <w:i/>
                <w:sz w:val="28"/>
                <w:szCs w:val="28"/>
              </w:rPr>
              <w:t>Особенности оценки</w:t>
            </w:r>
          </w:p>
        </w:tc>
      </w:tr>
      <w:tr w:rsidR="00410B92" w:rsidRPr="00874CF7" w:rsidTr="009A34EA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 xml:space="preserve">Констатирующий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Может быть оценен как «да/нет» (наличие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отсутствие, соответствие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не соответствие оценочному суждению)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B92" w:rsidRPr="00874CF7" w:rsidTr="009A34EA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Долевой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Может быть оценен как соответствующий в определенной мере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комендованному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значению (больше /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 xml:space="preserve"> меньше рекомендованного значения)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B92" w:rsidRPr="00874CF7" w:rsidTr="009A34EA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lastRenderedPageBreak/>
              <w:t>Экспертный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Может быть оценен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только с точки зрения эксперта;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 xml:space="preserve"> требует сопоставления данных, анализа, качественной оценки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10B92" w:rsidRDefault="00410B92" w:rsidP="00410B92">
      <w:pPr>
        <w:pStyle w:val="a8"/>
      </w:pPr>
    </w:p>
    <w:p w:rsidR="00410B92" w:rsidRPr="00874CF7" w:rsidRDefault="00410B92" w:rsidP="00410B92">
      <w:pPr>
        <w:pStyle w:val="a8"/>
      </w:pPr>
      <w:r w:rsidRPr="00874CF7">
        <w:rPr>
          <w:b/>
        </w:rPr>
        <w:t>Показатели оцениваются</w:t>
      </w:r>
      <w:r w:rsidRPr="00874CF7">
        <w:t xml:space="preserve"> по степени их выполнения по трехбалльной шкале:</w:t>
      </w:r>
    </w:p>
    <w:p w:rsidR="00410B92" w:rsidRPr="00874CF7" w:rsidRDefault="00410B92" w:rsidP="00410B9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F7">
        <w:rPr>
          <w:rFonts w:ascii="Times New Roman" w:hAnsi="Times New Roman" w:cs="Times New Roman"/>
          <w:bCs/>
          <w:i/>
          <w:sz w:val="28"/>
          <w:szCs w:val="28"/>
        </w:rPr>
        <w:t>«Соответствует»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74CF7">
        <w:rPr>
          <w:rFonts w:ascii="Times New Roman" w:hAnsi="Times New Roman" w:cs="Times New Roman"/>
          <w:sz w:val="28"/>
          <w:szCs w:val="28"/>
        </w:rPr>
        <w:t>эксперты оценил</w:t>
      </w:r>
      <w:r>
        <w:rPr>
          <w:rFonts w:ascii="Times New Roman" w:hAnsi="Times New Roman" w:cs="Times New Roman"/>
          <w:sz w:val="28"/>
          <w:szCs w:val="28"/>
        </w:rPr>
        <w:t xml:space="preserve">и, что показатель выполняется в </w:t>
      </w:r>
      <w:r w:rsidRPr="00874CF7">
        <w:rPr>
          <w:rFonts w:ascii="Times New Roman" w:hAnsi="Times New Roman" w:cs="Times New Roman"/>
          <w:sz w:val="28"/>
          <w:szCs w:val="28"/>
        </w:rPr>
        <w:t>полном объеме, соответствует предъявленному аккредитующей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низацией пороговому значению (2 </w:t>
      </w:r>
      <w:r w:rsidRPr="00874CF7">
        <w:rPr>
          <w:rFonts w:ascii="Times New Roman" w:hAnsi="Times New Roman" w:cs="Times New Roman"/>
          <w:sz w:val="28"/>
          <w:szCs w:val="28"/>
        </w:rPr>
        <w:t>балла)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B92" w:rsidRPr="00874CF7" w:rsidRDefault="00410B92" w:rsidP="00410B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F7">
        <w:rPr>
          <w:rFonts w:ascii="Times New Roman" w:hAnsi="Times New Roman" w:cs="Times New Roman"/>
          <w:bCs/>
          <w:i/>
          <w:sz w:val="28"/>
          <w:szCs w:val="28"/>
        </w:rPr>
        <w:t>«Частично соответствует»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4C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74CF7">
        <w:rPr>
          <w:rFonts w:ascii="Times New Roman" w:hAnsi="Times New Roman" w:cs="Times New Roman"/>
          <w:sz w:val="28"/>
          <w:szCs w:val="28"/>
        </w:rPr>
        <w:t>эксперты оценили, что показатель выполняется в объеме, который может быть определен как «зона ближайшего развития образовательной организации», частично соответствует заявленному аккредитующей организацией пороговому значению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F7">
        <w:rPr>
          <w:rFonts w:ascii="Times New Roman" w:hAnsi="Times New Roman" w:cs="Times New Roman"/>
          <w:sz w:val="28"/>
          <w:szCs w:val="28"/>
        </w:rPr>
        <w:t>балл).</w:t>
      </w:r>
    </w:p>
    <w:p w:rsidR="00410B92" w:rsidRPr="00874CF7" w:rsidRDefault="00410B92" w:rsidP="00410B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F7">
        <w:rPr>
          <w:rFonts w:ascii="Times New Roman" w:hAnsi="Times New Roman" w:cs="Times New Roman"/>
          <w:bCs/>
          <w:i/>
          <w:sz w:val="28"/>
          <w:szCs w:val="28"/>
        </w:rPr>
        <w:t>«Не соответствует»</w:t>
      </w:r>
      <w:r w:rsidRPr="00874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74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CF7">
        <w:rPr>
          <w:rFonts w:ascii="Times New Roman" w:hAnsi="Times New Roman" w:cs="Times New Roman"/>
          <w:sz w:val="28"/>
          <w:szCs w:val="28"/>
        </w:rPr>
        <w:t>эксперты оценили, что показатель не выполняет</w:t>
      </w:r>
      <w:r>
        <w:rPr>
          <w:rFonts w:ascii="Times New Roman" w:hAnsi="Times New Roman" w:cs="Times New Roman"/>
          <w:sz w:val="28"/>
          <w:szCs w:val="28"/>
        </w:rPr>
        <w:t>ся и не соответствует заявленному</w:t>
      </w:r>
      <w:r w:rsidRPr="00874CF7">
        <w:rPr>
          <w:rFonts w:ascii="Times New Roman" w:hAnsi="Times New Roman" w:cs="Times New Roman"/>
          <w:sz w:val="28"/>
          <w:szCs w:val="28"/>
        </w:rPr>
        <w:t xml:space="preserve"> аккредитующей орга</w:t>
      </w:r>
      <w:r>
        <w:rPr>
          <w:rFonts w:ascii="Times New Roman" w:hAnsi="Times New Roman" w:cs="Times New Roman"/>
          <w:sz w:val="28"/>
          <w:szCs w:val="28"/>
        </w:rPr>
        <w:t>низацией пороговому значению (0 баллов).</w:t>
      </w:r>
    </w:p>
    <w:p w:rsidR="00410B92" w:rsidRPr="008E622A" w:rsidRDefault="00410B92" w:rsidP="00410B92">
      <w:pPr>
        <w:pStyle w:val="a8"/>
      </w:pPr>
      <w:r w:rsidRPr="008E622A">
        <w:t>Общая оценка группы показателей определяется степенью выполнения показателей (СВП), образующих данную группу, и имеет следующую градацию:</w:t>
      </w:r>
    </w:p>
    <w:p w:rsidR="00410B92" w:rsidRPr="00874CF7" w:rsidRDefault="00410B92" w:rsidP="00410B92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410B92" w:rsidRPr="004D24F9" w:rsidTr="009A34EA">
        <w:trPr>
          <w:trHeight w:val="39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2" w:rsidRPr="004D24F9" w:rsidRDefault="00410B92" w:rsidP="009A34EA">
            <w:pPr>
              <w:pStyle w:val="a4"/>
              <w:widowControl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24F9">
              <w:rPr>
                <w:rFonts w:ascii="Times New Roman" w:hAnsi="Times New Roman"/>
                <w:i/>
                <w:sz w:val="28"/>
                <w:szCs w:val="28"/>
              </w:rPr>
              <w:t>Интервал (в %) выполнения показателей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92" w:rsidRPr="004D24F9" w:rsidRDefault="00410B92" w:rsidP="009A34EA">
            <w:pPr>
              <w:pStyle w:val="a4"/>
              <w:widowControl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24F9">
              <w:rPr>
                <w:rFonts w:ascii="Times New Roman" w:hAnsi="Times New Roman"/>
                <w:i/>
                <w:sz w:val="28"/>
                <w:szCs w:val="28"/>
              </w:rPr>
              <w:t>Оценка группы показателей</w:t>
            </w:r>
          </w:p>
        </w:tc>
      </w:tr>
      <w:tr w:rsidR="00410B92" w:rsidRPr="00874CF7" w:rsidTr="009A34EA">
        <w:trPr>
          <w:trHeight w:val="39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% &lt; СВП ≤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410B92" w:rsidRPr="00874CF7" w:rsidTr="009A34EA">
        <w:trPr>
          <w:trHeight w:val="39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% &lt; СВП ≤ 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410B92" w:rsidRPr="00874CF7" w:rsidTr="009A34EA">
        <w:trPr>
          <w:trHeight w:val="39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% &lt; СВП ≤ 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410B92" w:rsidRPr="00874CF7" w:rsidTr="009A34EA">
        <w:trPr>
          <w:trHeight w:val="39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СВП ≤ 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CF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2" w:rsidRPr="00874CF7" w:rsidRDefault="00410B92" w:rsidP="009A34EA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F7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410B92" w:rsidRDefault="00410B92" w:rsidP="00410B92">
      <w:pPr>
        <w:pStyle w:val="a8"/>
      </w:pPr>
    </w:p>
    <w:p w:rsidR="00410B92" w:rsidRPr="00874CF7" w:rsidRDefault="00410B92" w:rsidP="00410B92">
      <w:pPr>
        <w:pStyle w:val="a8"/>
      </w:pPr>
      <w:r w:rsidRPr="00874CF7">
        <w:t>Степень выполнения критерия определяется степенью выполнения показателей, образующих критер</w:t>
      </w:r>
      <w:r>
        <w:t xml:space="preserve">ий, и рассчитывается по формуле: </w:t>
      </w:r>
      <w:r w:rsidRPr="004D24F9">
        <w:rPr>
          <w:i/>
        </w:rPr>
        <w:t>сумма баллов, поставленных экспертами, по критерию ×</w:t>
      </w:r>
      <w:r>
        <w:rPr>
          <w:i/>
        </w:rPr>
        <w:t xml:space="preserve"> </w:t>
      </w:r>
      <w:r w:rsidRPr="004D24F9">
        <w:rPr>
          <w:i/>
        </w:rPr>
        <w:t>100</w:t>
      </w:r>
      <w:r>
        <w:rPr>
          <w:i/>
        </w:rPr>
        <w:t xml:space="preserve"> </w:t>
      </w:r>
      <w:r w:rsidRPr="004D24F9">
        <w:rPr>
          <w:i/>
        </w:rPr>
        <w:t>/ максимальная сумма балов по критерию</w:t>
      </w:r>
      <w:r>
        <w:t>.</w:t>
      </w:r>
    </w:p>
    <w:p w:rsidR="00410B92" w:rsidRDefault="00410B92" w:rsidP="00410B9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0B92" w:rsidRDefault="00410B92" w:rsidP="00410B92">
      <w:pPr>
        <w:pStyle w:val="2"/>
      </w:pPr>
      <w:r>
        <w:lastRenderedPageBreak/>
        <w:t>1. Группа показателей критерия «</w:t>
      </w:r>
      <w:r w:rsidRPr="00530712">
        <w:t>Прохождение выпускниками профессиональной образовательной программы процедуры независимой оценки квалификации. Соответствие планируемых результатов обучения (профессиональных компетенций</w:t>
      </w:r>
      <w:r>
        <w:t xml:space="preserve">) профессиональным стандартам в </w:t>
      </w:r>
      <w:r w:rsidRPr="00530712">
        <w:t>сфере машиностроения»</w:t>
      </w:r>
    </w:p>
    <w:tbl>
      <w:tblPr>
        <w:tblStyle w:val="a3"/>
        <w:tblW w:w="5092" w:type="pct"/>
        <w:tblLook w:val="04A0" w:firstRow="1" w:lastRow="0" w:firstColumn="1" w:lastColumn="0" w:noHBand="0" w:noVBand="1"/>
      </w:tblPr>
      <w:tblGrid>
        <w:gridCol w:w="658"/>
        <w:gridCol w:w="5263"/>
        <w:gridCol w:w="1799"/>
        <w:gridCol w:w="1797"/>
      </w:tblGrid>
      <w:tr w:rsidR="00410B92" w:rsidRPr="00232469" w:rsidTr="009A34EA">
        <w:trPr>
          <w:trHeight w:val="20"/>
          <w:tblHeader/>
        </w:trPr>
        <w:tc>
          <w:tcPr>
            <w:tcW w:w="346" w:type="pct"/>
            <w:vAlign w:val="center"/>
          </w:tcPr>
          <w:p w:rsidR="00410B92" w:rsidRPr="00232469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65" w:type="pct"/>
            <w:vAlign w:val="center"/>
          </w:tcPr>
          <w:p w:rsidR="00410B92" w:rsidRPr="00232469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2469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945" w:type="pct"/>
            <w:vAlign w:val="center"/>
          </w:tcPr>
          <w:p w:rsidR="00410B92" w:rsidRPr="00232469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2469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944" w:type="pct"/>
            <w:vAlign w:val="center"/>
          </w:tcPr>
          <w:p w:rsidR="00410B92" w:rsidRPr="00232469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2469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выпускников образовательной программы, успешно прошедших независимую оценку квалификации в ЦОК, упол</w:t>
            </w:r>
            <w:r>
              <w:rPr>
                <w:rFonts w:ascii="Times New Roman" w:hAnsi="Times New Roman"/>
                <w:sz w:val="28"/>
                <w:szCs w:val="28"/>
              </w:rPr>
              <w:t>номоченных СПК в машиностроении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Del="00CF047C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Доля выпускников образовательной программы, прошедших процедуру государственной итоговой аттестации (защита выпускной квалификационной работы и/или выпускной экзамен) и получивших оценки «хорошо»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отлично», от общего количества выпускников программы (информация предоставляется за два последних выпуска)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Соответствие фактических компетенций студентов выпускных групп планируемым результатам обучения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70% выпускников справились с 80% заданий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Наличие компетентностной модели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(КМ)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выпускника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Наличие в компетентностной модели компетенций, позволяющих выполнять трудо</w:t>
            </w:r>
            <w:r>
              <w:rPr>
                <w:rFonts w:ascii="Times New Roman" w:hAnsi="Times New Roman"/>
                <w:sz w:val="28"/>
                <w:szCs w:val="28"/>
              </w:rPr>
              <w:t>вые функции заявленного профессионального стандарта (ПС)</w:t>
            </w:r>
            <w:r w:rsidRPr="007270CD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2"/>
            </w:r>
            <w:r w:rsidRPr="00727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0C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7270CD">
              <w:rPr>
                <w:rFonts w:ascii="Times New Roman" w:hAnsi="Times New Roman"/>
                <w:i/>
                <w:sz w:val="28"/>
                <w:szCs w:val="28"/>
              </w:rPr>
              <w:t xml:space="preserve"> КМ должны быть четко прописано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270CD">
              <w:rPr>
                <w:rFonts w:ascii="Times New Roman" w:hAnsi="Times New Roman"/>
                <w:i/>
                <w:sz w:val="28"/>
                <w:szCs w:val="28"/>
              </w:rPr>
              <w:t xml:space="preserve"> какие компетенции с каки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ми ПС </w:t>
            </w:r>
            <w:r w:rsidRPr="007270CD">
              <w:rPr>
                <w:rFonts w:ascii="Times New Roman" w:hAnsi="Times New Roman"/>
                <w:i/>
                <w:sz w:val="28"/>
                <w:szCs w:val="28"/>
              </w:rPr>
              <w:t>соотнесены)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Наличие студентов программы, принявших участие в профессиональных чемпионатах (олимпиадах, иных мероприятиях), пр</w:t>
            </w:r>
            <w:r>
              <w:rPr>
                <w:rFonts w:ascii="Times New Roman" w:hAnsi="Times New Roman"/>
                <w:sz w:val="28"/>
                <w:szCs w:val="28"/>
              </w:rPr>
              <w:t>оводимых в сфере машиностроения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410B92" w:rsidRPr="008E622A" w:rsidRDefault="00410B92" w:rsidP="00410B92"/>
    <w:p w:rsidR="00410B92" w:rsidRDefault="00410B92" w:rsidP="00410B92">
      <w:pPr>
        <w:pStyle w:val="2"/>
      </w:pPr>
      <w:r w:rsidRPr="00D268AA">
        <w:t>2.</w:t>
      </w:r>
      <w:r>
        <w:t> </w:t>
      </w:r>
      <w:r w:rsidRPr="00D268AA">
        <w:t xml:space="preserve">Группа показателей </w:t>
      </w:r>
      <w:r>
        <w:t xml:space="preserve">критерия </w:t>
      </w:r>
      <w:r w:rsidRPr="00D268AA">
        <w:t xml:space="preserve">«Структура и содержание </w:t>
      </w:r>
      <w:r w:rsidRPr="00D268AA">
        <w:lastRenderedPageBreak/>
        <w:t>образовательной программы позволяет формировать запланированные результаты освоения программы и профессиональные компетенции, разработанные (соотнесенные) с требованиями профессиональ</w:t>
      </w:r>
      <w:r>
        <w:t xml:space="preserve">ных стандартов в </w:t>
      </w:r>
      <w:r w:rsidRPr="00D268AA">
        <w:t>машиностроении»</w:t>
      </w:r>
    </w:p>
    <w:tbl>
      <w:tblPr>
        <w:tblStyle w:val="a3"/>
        <w:tblW w:w="5092" w:type="pct"/>
        <w:tblLook w:val="04A0" w:firstRow="1" w:lastRow="0" w:firstColumn="1" w:lastColumn="0" w:noHBand="0" w:noVBand="1"/>
      </w:tblPr>
      <w:tblGrid>
        <w:gridCol w:w="658"/>
        <w:gridCol w:w="5263"/>
        <w:gridCol w:w="1799"/>
        <w:gridCol w:w="1797"/>
      </w:tblGrid>
      <w:tr w:rsidR="00410B92" w:rsidRPr="007270CD" w:rsidTr="009A34EA">
        <w:trPr>
          <w:trHeight w:val="20"/>
          <w:tblHeader/>
        </w:trPr>
        <w:tc>
          <w:tcPr>
            <w:tcW w:w="346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  <w:vAlign w:val="center"/>
          </w:tcPr>
          <w:p w:rsidR="00410B92" w:rsidRPr="007C17A6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17A6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945" w:type="pct"/>
            <w:vAlign w:val="center"/>
          </w:tcPr>
          <w:p w:rsidR="00410B92" w:rsidRPr="007C17A6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17A6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944" w:type="pct"/>
            <w:vAlign w:val="center"/>
          </w:tcPr>
          <w:p w:rsidR="00410B92" w:rsidRPr="007C17A6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17A6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Содержание образовательной программы направлено на формирование компетенций, соотнесенных с ПС, и учитывает мнение различных заинтересованных сторон: государства, </w:t>
            </w:r>
            <w:r>
              <w:rPr>
                <w:rFonts w:ascii="Times New Roman" w:hAnsi="Times New Roman"/>
                <w:sz w:val="28"/>
                <w:szCs w:val="28"/>
              </w:rPr>
              <w:t>работодателей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, социальных партнеров, студентов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в образовательной программе дисциплин, позволяющих формировать компетенции, со</w:t>
            </w:r>
            <w:r>
              <w:rPr>
                <w:rFonts w:ascii="Times New Roman" w:hAnsi="Times New Roman"/>
                <w:sz w:val="28"/>
                <w:szCs w:val="28"/>
              </w:rPr>
              <w:t>отнесенные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 xml:space="preserve"> с ПС и иными квалификационными требованиями, р</w:t>
            </w:r>
            <w:r>
              <w:rPr>
                <w:rFonts w:ascii="Times New Roman" w:hAnsi="Times New Roman"/>
                <w:sz w:val="28"/>
                <w:szCs w:val="28"/>
              </w:rPr>
              <w:t>азработанными в машиностроении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Существуют специализации (профилизация) в рамках образовательной программы по заказу работодателей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машиностроительной отрасли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В рабочих программах дисциплин сформулированы конечные результаты обучения (компетенции, знания, уме</w:t>
            </w:r>
            <w:r>
              <w:rPr>
                <w:rFonts w:ascii="Times New Roman" w:hAnsi="Times New Roman"/>
                <w:sz w:val="28"/>
                <w:szCs w:val="28"/>
              </w:rPr>
              <w:t>ния, навыки), соотнесенные с ПС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 процессам разработки учебно-методических материалов образовательной программы привлекаются работодатели машиностроительной отрасли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рабочих учебных программ, согласованных с работодателями машиностроительной отрасли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Задания на прохождение производственной и преддипломной практик направлены на получение студентами навыков практической профессиональной деятельности машиностроительной отрасли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Del="00A307B1" w:rsidRDefault="00410B92" w:rsidP="00410B92">
            <w:pPr>
              <w:pStyle w:val="a4"/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Доля оценочных средств (вопросов, заданий, ситуаций и т.д.), используемых при текущем, промежуточном и итоговом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контроле успеваемости,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содержащих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материалы, разработанные на основе реальных ситуаций, и </w:t>
            </w:r>
            <w:r>
              <w:rPr>
                <w:rFonts w:ascii="Times New Roman" w:hAnsi="Times New Roman"/>
                <w:sz w:val="28"/>
                <w:szCs w:val="28"/>
              </w:rPr>
              <w:t>позволяющих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 xml:space="preserve"> оценить сформированность профессиональных компетенций, разработанных на основе ПС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944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</w:tbl>
    <w:p w:rsidR="00410B92" w:rsidRPr="008E622A" w:rsidRDefault="00410B92" w:rsidP="00410B92"/>
    <w:p w:rsidR="00410B92" w:rsidRPr="00295F1B" w:rsidRDefault="00410B92" w:rsidP="00410B92">
      <w:pPr>
        <w:pStyle w:val="2"/>
      </w:pPr>
      <w:r w:rsidRPr="00295F1B">
        <w:t>3.</w:t>
      </w:r>
      <w:r>
        <w:t> </w:t>
      </w:r>
      <w:r w:rsidRPr="00295F1B">
        <w:t xml:space="preserve">Группа показателей </w:t>
      </w:r>
      <w:r>
        <w:t xml:space="preserve">критерия </w:t>
      </w:r>
      <w:r w:rsidRPr="00295F1B">
        <w:t xml:space="preserve">«Кадровый состав образовательной программы позволяет сформировать компетенции, соответствующие современным требованиям рынка труда и профессиональным стандартам </w:t>
      </w:r>
      <w:r>
        <w:t xml:space="preserve">в области </w:t>
      </w:r>
      <w:r w:rsidRPr="00295F1B">
        <w:t>машиностроения»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2"/>
      </w:tblGrid>
      <w:tr w:rsidR="00410B92" w:rsidRPr="007270CD" w:rsidTr="009A34EA">
        <w:trPr>
          <w:tblHeader/>
        </w:trPr>
        <w:tc>
          <w:tcPr>
            <w:tcW w:w="675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10B92" w:rsidRPr="004A468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68B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410B92" w:rsidRPr="004A468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68B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1842" w:type="dxa"/>
            <w:vAlign w:val="center"/>
          </w:tcPr>
          <w:p w:rsidR="00410B92" w:rsidRPr="004A468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68B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Имеются действующие стандарты и регламенты, определяющи</w:t>
            </w:r>
            <w:r>
              <w:rPr>
                <w:rFonts w:ascii="Times New Roman" w:hAnsi="Times New Roman"/>
                <w:sz w:val="28"/>
                <w:szCs w:val="28"/>
              </w:rPr>
              <w:t>е учебную работу преподавателей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Система подготовки и переподготовки преподавателей позволяет поддерживать их компетенции на уровне, достаточном для реализации образовательной программы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преподавателей, прошедших стажировку в организациях машиностроительной отрасли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последних 3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преподавателей профильных дисциплин, совмещающих работу в образовательной организации с профессиональной деятельностью в отрасли машиностроения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преподавателей, имеющих опыт работы, соответствующий профилю образовательной программы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преподавателей, успешно прошедших независимую оценку квалификации в соответствии с требованиями профессиональных стандартов, сопряженных с образовательной программой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преподавателей, привлекаемых в другие образовательные организации для чтения специальных курсов, рецензирования выпускных квалификационных работ, участия в государственной итоговой аттестации, проведения мастер-классов и др.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Выполнение преподавателями научно-исследовательских проектов, получивших признание представителей рынка труда машиностроительной отрасли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rPr>
          <w:trHeight w:val="557"/>
        </w:trPr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Публикационная активность преподавателей</w:t>
            </w:r>
          </w:p>
        </w:tc>
        <w:tc>
          <w:tcPr>
            <w:tcW w:w="1843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2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1 публикация в год в среднем</w:t>
            </w:r>
          </w:p>
        </w:tc>
      </w:tr>
    </w:tbl>
    <w:p w:rsidR="00410B92" w:rsidRPr="007270CD" w:rsidRDefault="00410B92" w:rsidP="00410B92">
      <w:pPr>
        <w:pStyle w:val="a8"/>
      </w:pPr>
    </w:p>
    <w:p w:rsidR="00410B92" w:rsidRPr="00EF4371" w:rsidRDefault="00410B92" w:rsidP="00410B92">
      <w:pPr>
        <w:pStyle w:val="2"/>
      </w:pPr>
      <w:r w:rsidRPr="00EF4371">
        <w:t>4.</w:t>
      </w:r>
      <w:r>
        <w:t> </w:t>
      </w:r>
      <w:r w:rsidRPr="00EF4371">
        <w:t xml:space="preserve">Группа показателей </w:t>
      </w:r>
      <w:r>
        <w:t xml:space="preserve">критерия </w:t>
      </w:r>
      <w:r w:rsidRPr="00EF4371">
        <w:t>«Материально-технические и информационно-коммуникационные ресурсы позволя</w:t>
      </w:r>
      <w:r>
        <w:t>ю</w:t>
      </w:r>
      <w:r w:rsidRPr="00EF4371">
        <w:t>т сформировать компетенции, соответствующие современным требовани</w:t>
      </w:r>
      <w:r>
        <w:t xml:space="preserve">ям рынка труда и </w:t>
      </w:r>
      <w:r w:rsidRPr="00EF4371">
        <w:t>профессиональным стандартам»</w:t>
      </w:r>
    </w:p>
    <w:tbl>
      <w:tblPr>
        <w:tblStyle w:val="a3"/>
        <w:tblW w:w="5102" w:type="pct"/>
        <w:tblLayout w:type="fixed"/>
        <w:tblLook w:val="04A0" w:firstRow="1" w:lastRow="0" w:firstColumn="1" w:lastColumn="0" w:noHBand="0" w:noVBand="1"/>
      </w:tblPr>
      <w:tblGrid>
        <w:gridCol w:w="659"/>
        <w:gridCol w:w="5312"/>
        <w:gridCol w:w="1747"/>
        <w:gridCol w:w="1818"/>
      </w:tblGrid>
      <w:tr w:rsidR="00410B92" w:rsidRPr="005C1DA5" w:rsidTr="009A34EA">
        <w:trPr>
          <w:tblHeader/>
        </w:trPr>
        <w:tc>
          <w:tcPr>
            <w:tcW w:w="346" w:type="pct"/>
            <w:vAlign w:val="center"/>
          </w:tcPr>
          <w:p w:rsidR="00410B92" w:rsidRPr="005C1DA5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85" w:type="pct"/>
            <w:vAlign w:val="center"/>
          </w:tcPr>
          <w:p w:rsidR="00410B92" w:rsidRPr="005C1DA5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1DA5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916" w:type="pct"/>
            <w:vAlign w:val="center"/>
          </w:tcPr>
          <w:p w:rsidR="00410B92" w:rsidRPr="005C1DA5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1DA5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953" w:type="pct"/>
            <w:vAlign w:val="center"/>
          </w:tcPr>
          <w:p w:rsidR="00410B92" w:rsidRPr="005C1DA5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1DA5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аудиторий, оснащенных ресурсами (в том числе программными продуктами), обеспечивающими доступность информации, необходимой для эффективной деятельности участников образовательного процесса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лабораторий (аудиторий), оснащенных работодателями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Использование для проведения практик баз, оснащенных современным оборудованием и приборами в степени, необходимой для формирования профессиональных компетенций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Наличие внутренней информационной инфраструктуры, предназначенной для создания, хранения и доставки образовательного контента и используемых образовательных технологий, ее соответствие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современному уровню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Доступность студентам и преподавателям электронных образовательных ресурсов по направлению подготовки (учебно-методических материалов, баз данных, электронных учебников; обучающих компьютерных программ и т.д.)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Имеются компьютерные классы свободного доступа, которые предназначены для подготовки студентов к занятиям с использованием сетевых учебных ресурсов образовательной организации и/или информационных Интернет-ресурсов, а также для сканирования необходимых материалов и/или скачивания информации</w:t>
            </w:r>
          </w:p>
        </w:tc>
        <w:tc>
          <w:tcPr>
            <w:tcW w:w="916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53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/Н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</w:tbl>
    <w:p w:rsidR="00410B92" w:rsidRPr="008E622A" w:rsidRDefault="00410B92" w:rsidP="00410B92"/>
    <w:p w:rsidR="00410B92" w:rsidRPr="00765C7B" w:rsidRDefault="00410B92" w:rsidP="00410B92">
      <w:pPr>
        <w:pStyle w:val="2"/>
      </w:pPr>
      <w:r w:rsidRPr="00765C7B">
        <w:t>5.</w:t>
      </w:r>
      <w:r>
        <w:t> </w:t>
      </w:r>
      <w:r w:rsidRPr="00765C7B">
        <w:t xml:space="preserve">Группа показателей </w:t>
      </w:r>
      <w:r>
        <w:t xml:space="preserve">критерия </w:t>
      </w:r>
      <w:r w:rsidRPr="00765C7B">
        <w:t xml:space="preserve">«Наличие спроса на образовательную программу. </w:t>
      </w:r>
      <w:bookmarkStart w:id="1" w:name="_Toc409707720"/>
      <w:bookmarkStart w:id="2" w:name="_Toc485227794"/>
      <w:r w:rsidRPr="00765C7B">
        <w:t>Востребованность выпускников, освоивших образовательную программу, на рынке труда</w:t>
      </w:r>
      <w:bookmarkEnd w:id="1"/>
      <w:bookmarkEnd w:id="2"/>
      <w:r w:rsidRPr="00765C7B">
        <w:t>»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675"/>
        <w:gridCol w:w="5466"/>
        <w:gridCol w:w="1764"/>
        <w:gridCol w:w="1876"/>
      </w:tblGrid>
      <w:tr w:rsidR="00410B92" w:rsidRPr="007270CD" w:rsidTr="009A34EA">
        <w:trPr>
          <w:tblHeader/>
        </w:trPr>
        <w:tc>
          <w:tcPr>
            <w:tcW w:w="675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  <w:vAlign w:val="center"/>
          </w:tcPr>
          <w:p w:rsidR="00410B92" w:rsidRPr="00765C7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5C7B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1764" w:type="dxa"/>
            <w:vAlign w:val="center"/>
          </w:tcPr>
          <w:p w:rsidR="00410B92" w:rsidRPr="00765C7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5C7B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1876" w:type="dxa"/>
            <w:vAlign w:val="center"/>
          </w:tcPr>
          <w:p w:rsidR="00410B92" w:rsidRPr="00765C7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5C7B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Описание и анализ рынка труда (регионального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глобального), потребности которого учитывались при разработке и реализации образовательной программы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Перечень ключевых работодателей машиностроительной отрасли для выпускников образовательной программы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выпускников, трудоустроившихся в соответствии со сформированными компетенциями (по специальности) в течение года (анализ за три последних выпуска)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Доля студентов, получивших приглашения на работу по итогам прохождения практики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Удовлетворенность выпускников образовательной программы результатами обучения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Наличие службы трудоустройства и мониторинга востребованности выпускников образовательной программы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Наличие электронной биржи труда для студентов и выпускников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6" w:type="dxa"/>
          </w:tcPr>
          <w:p w:rsidR="00410B92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c>
          <w:tcPr>
            <w:tcW w:w="675" w:type="dxa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2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Наличие информации о закрепляемости выпускников на рабочем месте в соответствии с полученной квалификацией и о карьерном росте выпускников</w:t>
            </w:r>
          </w:p>
        </w:tc>
        <w:tc>
          <w:tcPr>
            <w:tcW w:w="1764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76" w:type="dxa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410B92" w:rsidRPr="007270CD" w:rsidRDefault="00410B92" w:rsidP="00410B92">
      <w:pPr>
        <w:pStyle w:val="a8"/>
      </w:pPr>
    </w:p>
    <w:p w:rsidR="00410B92" w:rsidRDefault="00410B92" w:rsidP="00410B92">
      <w:pPr>
        <w:pStyle w:val="2"/>
      </w:pPr>
      <w:bookmarkStart w:id="3" w:name="_Toc485227795"/>
      <w:r w:rsidRPr="008E2B18">
        <w:t>6.</w:t>
      </w:r>
      <w:r>
        <w:t> </w:t>
      </w:r>
      <w:r w:rsidRPr="008E2B18">
        <w:t xml:space="preserve">Группа показателей </w:t>
      </w:r>
      <w:r>
        <w:t xml:space="preserve">критерия </w:t>
      </w:r>
      <w:r w:rsidRPr="008E2B18">
        <w:t>«Участие работодателей машиностроительной отрасли в планировании, организации и мониторинге качества образовательной программы</w:t>
      </w:r>
      <w:bookmarkEnd w:id="3"/>
      <w:r w:rsidRPr="008E2B18"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5278"/>
        <w:gridCol w:w="1654"/>
        <w:gridCol w:w="1766"/>
      </w:tblGrid>
      <w:tr w:rsidR="00410B92" w:rsidRPr="007270CD" w:rsidTr="009A34EA">
        <w:trPr>
          <w:trHeight w:val="20"/>
          <w:tblHeader/>
        </w:trPr>
        <w:tc>
          <w:tcPr>
            <w:tcW w:w="346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  <w:vAlign w:val="center"/>
          </w:tcPr>
          <w:p w:rsidR="00410B92" w:rsidRPr="0002249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249B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885" w:type="pct"/>
            <w:vAlign w:val="center"/>
          </w:tcPr>
          <w:p w:rsidR="00410B92" w:rsidRPr="0002249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249B">
              <w:rPr>
                <w:rFonts w:ascii="Times New Roman" w:hAnsi="Times New Roman"/>
                <w:i/>
                <w:sz w:val="28"/>
                <w:szCs w:val="28"/>
              </w:rPr>
              <w:t>Тип показателя</w:t>
            </w:r>
          </w:p>
        </w:tc>
        <w:tc>
          <w:tcPr>
            <w:tcW w:w="945" w:type="pct"/>
            <w:vAlign w:val="center"/>
          </w:tcPr>
          <w:p w:rsidR="00410B92" w:rsidRPr="0002249B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249B">
              <w:rPr>
                <w:rFonts w:ascii="Times New Roman" w:hAnsi="Times New Roman"/>
                <w:i/>
                <w:sz w:val="28"/>
                <w:szCs w:val="28"/>
              </w:rPr>
              <w:t>Пороговые значения показателей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Стратегия развития образовательной программы построена с учетом прогноза потребности рынка труда машиностроительной отрасли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Работодатели машиностроительной отрасли принимают участие в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>разработке</w:t>
            </w:r>
            <w:r w:rsidRPr="007270CD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оце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>ниваемой программы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Реализуется процедура утверждения, анализа и актуализации реализуемой образовательной программы с участием работодателей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машиностроительной отрасли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Style w:val="apple-converted-space"/>
                <w:rFonts w:ascii="Times New Roman" w:hAnsi="Times New Roman"/>
                <w:sz w:val="28"/>
                <w:szCs w:val="28"/>
              </w:rPr>
              <w:t>Доля практикоориентированных тем выпускных квалификационных работ (ВКР), разработанных совместно с работодателями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машиностроительной отрасли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Style w:val="apple-converted-space"/>
                <w:rFonts w:ascii="Times New Roman" w:hAnsi="Times New Roman"/>
                <w:sz w:val="28"/>
                <w:szCs w:val="28"/>
              </w:rPr>
              <w:t>Удовлетворенность работодателей результатами обучения выпускников программы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70CD">
              <w:rPr>
                <w:rFonts w:ascii="Times New Roman" w:eastAsia="Calibri" w:hAnsi="Times New Roman"/>
                <w:sz w:val="28"/>
                <w:szCs w:val="28"/>
              </w:rPr>
              <w:t>К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Да/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10B92" w:rsidRPr="007270CD" w:rsidTr="009A34EA">
        <w:trPr>
          <w:trHeight w:val="20"/>
        </w:trPr>
        <w:tc>
          <w:tcPr>
            <w:tcW w:w="346" w:type="pct"/>
          </w:tcPr>
          <w:p w:rsidR="00410B92" w:rsidRPr="007270CD" w:rsidRDefault="00410B92" w:rsidP="00410B92">
            <w:pPr>
              <w:pStyle w:val="a4"/>
              <w:widowControl w:val="0"/>
              <w:numPr>
                <w:ilvl w:val="0"/>
                <w:numId w:val="3"/>
              </w:numPr>
              <w:tabs>
                <w:tab w:val="right" w:pos="935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pct"/>
          </w:tcPr>
          <w:p w:rsidR="00410B92" w:rsidRPr="007270CD" w:rsidRDefault="00410B92" w:rsidP="009A34EA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Структура и содержание образовательной программы предусматривает проведение мастер-классов с участием представит</w:t>
            </w:r>
            <w:r>
              <w:rPr>
                <w:rFonts w:ascii="Times New Roman" w:hAnsi="Times New Roman"/>
                <w:sz w:val="28"/>
                <w:szCs w:val="28"/>
              </w:rPr>
              <w:t>елей машиностроительной отрасли</w:t>
            </w:r>
          </w:p>
        </w:tc>
        <w:tc>
          <w:tcPr>
            <w:tcW w:w="88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45" w:type="pct"/>
          </w:tcPr>
          <w:p w:rsidR="00410B92" w:rsidRPr="007270CD" w:rsidRDefault="00410B92" w:rsidP="009A34EA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CD">
              <w:rPr>
                <w:rFonts w:ascii="Times New Roman" w:hAnsi="Times New Roman"/>
                <w:sz w:val="28"/>
                <w:szCs w:val="28"/>
              </w:rPr>
              <w:t xml:space="preserve">Количество мастер-классов не менее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270CD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</w:tbl>
    <w:p w:rsidR="00FE2BB3" w:rsidRDefault="00FE2BB3">
      <w:bookmarkStart w:id="4" w:name="_GoBack"/>
      <w:bookmarkEnd w:id="4"/>
    </w:p>
    <w:sectPr w:rsidR="00FE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92" w:rsidRDefault="00410B92" w:rsidP="00410B92">
      <w:pPr>
        <w:spacing w:after="0" w:line="240" w:lineRule="auto"/>
      </w:pPr>
      <w:r>
        <w:separator/>
      </w:r>
    </w:p>
  </w:endnote>
  <w:endnote w:type="continuationSeparator" w:id="0">
    <w:p w:rsidR="00410B92" w:rsidRDefault="00410B92" w:rsidP="0041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92" w:rsidRDefault="00410B92" w:rsidP="00410B92">
      <w:pPr>
        <w:spacing w:after="0" w:line="240" w:lineRule="auto"/>
      </w:pPr>
      <w:r>
        <w:separator/>
      </w:r>
    </w:p>
  </w:footnote>
  <w:footnote w:type="continuationSeparator" w:id="0">
    <w:p w:rsidR="00410B92" w:rsidRDefault="00410B92" w:rsidP="00410B92">
      <w:pPr>
        <w:spacing w:after="0" w:line="240" w:lineRule="auto"/>
      </w:pPr>
      <w:r>
        <w:continuationSeparator/>
      </w:r>
    </w:p>
  </w:footnote>
  <w:footnote w:id="1">
    <w:p w:rsidR="00410B92" w:rsidRPr="00874CF7" w:rsidRDefault="00410B92" w:rsidP="00410B92">
      <w:pPr>
        <w:pStyle w:val="a5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F7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> Приложение </w:t>
      </w:r>
      <w:r w:rsidRPr="00874CF7">
        <w:rPr>
          <w:rFonts w:ascii="Times New Roman" w:hAnsi="Times New Roman" w:cs="Times New Roman"/>
          <w:sz w:val="24"/>
          <w:szCs w:val="24"/>
        </w:rPr>
        <w:t xml:space="preserve">3 к 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>«Общим требованиям к проведению профессионально-общественной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нальных программ», утвержденных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>июля 2017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>года Председателем Национального совета при Президенте Российской Федерации по профессиональным квалификациям 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CF7">
        <w:rPr>
          <w:rFonts w:ascii="Times New Roman" w:eastAsia="Times New Roman" w:hAnsi="Times New Roman" w:cs="Times New Roman"/>
          <w:sz w:val="24"/>
          <w:szCs w:val="24"/>
        </w:rPr>
        <w:t>Шохиным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</w:footnote>
  <w:footnote w:id="2">
    <w:p w:rsidR="00410B92" w:rsidRPr="00A10BC8" w:rsidRDefault="00410B92" w:rsidP="00410B92">
      <w:pPr>
        <w:pStyle w:val="a5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BC8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A10BC8">
        <w:rPr>
          <w:rFonts w:ascii="Times New Roman" w:hAnsi="Times New Roman" w:cs="Times New Roman"/>
          <w:sz w:val="24"/>
          <w:szCs w:val="24"/>
        </w:rPr>
        <w:t>Далее речь и</w:t>
      </w:r>
      <w:r>
        <w:rPr>
          <w:rFonts w:ascii="Times New Roman" w:hAnsi="Times New Roman" w:cs="Times New Roman"/>
          <w:sz w:val="24"/>
          <w:szCs w:val="24"/>
        </w:rPr>
        <w:t>дет именно об этих компетенциях.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EC7"/>
    <w:multiLevelType w:val="hybridMultilevel"/>
    <w:tmpl w:val="B8C0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E6A"/>
    <w:multiLevelType w:val="hybridMultilevel"/>
    <w:tmpl w:val="6C76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1615"/>
    <w:multiLevelType w:val="hybridMultilevel"/>
    <w:tmpl w:val="B8CC09C2"/>
    <w:lvl w:ilvl="0" w:tplc="190C3B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425E"/>
    <w:multiLevelType w:val="hybridMultilevel"/>
    <w:tmpl w:val="5282B296"/>
    <w:lvl w:ilvl="0" w:tplc="190C3B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26B76"/>
    <w:multiLevelType w:val="hybridMultilevel"/>
    <w:tmpl w:val="5282B296"/>
    <w:lvl w:ilvl="0" w:tplc="190C3B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58FC"/>
    <w:multiLevelType w:val="hybridMultilevel"/>
    <w:tmpl w:val="6C76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2"/>
    <w:rsid w:val="00410B92"/>
    <w:rsid w:val="00D213D0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F008-00B2-4115-84E3-9139AB1F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92"/>
  </w:style>
  <w:style w:type="paragraph" w:styleId="1">
    <w:name w:val="heading 1"/>
    <w:basedOn w:val="a"/>
    <w:next w:val="a"/>
    <w:link w:val="10"/>
    <w:uiPriority w:val="9"/>
    <w:qFormat/>
    <w:rsid w:val="00410B9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410B92"/>
    <w:pPr>
      <w:keepNext w:val="0"/>
      <w:widowControl w:val="0"/>
      <w:suppressAutoHyphens w:val="0"/>
      <w:spacing w:before="0" w:after="0"/>
      <w:ind w:firstLine="709"/>
      <w:contextualSpacing/>
      <w:jc w:val="both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B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B9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table" w:styleId="a3">
    <w:name w:val="Table Grid"/>
    <w:basedOn w:val="a1"/>
    <w:uiPriority w:val="39"/>
    <w:rsid w:val="00410B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оюзмаш_Табл"/>
    <w:basedOn w:val="a"/>
    <w:qFormat/>
    <w:rsid w:val="00410B92"/>
    <w:pPr>
      <w:tabs>
        <w:tab w:val="right" w:leader="underscore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410B9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FN"/>
    <w:basedOn w:val="a"/>
    <w:link w:val="a6"/>
    <w:uiPriority w:val="99"/>
    <w:rsid w:val="00410B92"/>
    <w:rPr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5"/>
    <w:uiPriority w:val="99"/>
    <w:rsid w:val="00410B92"/>
    <w:rPr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basedOn w:val="a0"/>
    <w:uiPriority w:val="99"/>
    <w:rsid w:val="00410B92"/>
    <w:rPr>
      <w:sz w:val="24"/>
      <w:szCs w:val="24"/>
      <w:vertAlign w:val="superscript"/>
      <w:lang w:val="ru-RU" w:eastAsia="en-US"/>
    </w:rPr>
  </w:style>
  <w:style w:type="paragraph" w:customStyle="1" w:styleId="a8">
    <w:name w:val="Союзмаш"/>
    <w:qFormat/>
    <w:rsid w:val="00410B92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41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1750</Words>
  <Characters>9975</Characters>
  <Application>Microsoft Office Word</Application>
  <DocSecurity>0</DocSecurity>
  <Lines>83</Lines>
  <Paragraphs>23</Paragraphs>
  <ScaleCrop>false</ScaleCrop>
  <Company>diakov.net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2020-02-03T15:16:00Z</dcterms:created>
  <dcterms:modified xsi:type="dcterms:W3CDTF">2020-02-03T15:17:00Z</dcterms:modified>
</cp:coreProperties>
</file>